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68AE332D" w:rsidR="00CD36CF" w:rsidRDefault="00444D8F"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AA0111">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AE2F13">
            <w:t>64</w:t>
          </w:r>
        </w:sdtContent>
      </w:sdt>
    </w:p>
    <w:p w14:paraId="2F922DE7" w14:textId="6FA29B43"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AA0111">
            <w:t>Senator</w:t>
          </w:r>
          <w:r w:rsidR="00A31951">
            <w:t>s</w:t>
          </w:r>
          <w:r w:rsidR="00AA0111">
            <w:t xml:space="preserve"> Rucker</w:t>
          </w:r>
          <w:r w:rsidR="00A31951">
            <w:t>, Rose, Jeffries, Azinger, Bartlett</w:t>
          </w:r>
          <w:r w:rsidR="00444D8F">
            <w:t xml:space="preserve">, and </w:t>
          </w:r>
          <w:proofErr w:type="spellStart"/>
          <w:r w:rsidR="00444D8F">
            <w:t>Takubo</w:t>
          </w:r>
          <w:proofErr w:type="spellEnd"/>
        </w:sdtContent>
      </w:sdt>
      <w:r w:rsidRPr="0091254D">
        <w:t>)</w:t>
      </w:r>
    </w:p>
    <w:p w14:paraId="15F7B26A" w14:textId="7F00F4C3"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A17055">
            <w:t>March 12,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6983A97C" w:rsidR="00FE76E5" w:rsidRDefault="00AA0111" w:rsidP="00D60032">
          <w:pPr>
            <w:pStyle w:val="TitleSection"/>
          </w:pPr>
          <w:r>
            <w:t>Opposing the People’s Republic of China’s Misuse of UN Resolution 2758 and reaffirming Taiwan’s right to international participation.</w:t>
          </w:r>
        </w:p>
      </w:sdtContent>
    </w:sdt>
    <w:p w14:paraId="658DD144" w14:textId="7F3AD850" w:rsidR="00AA0111" w:rsidRPr="00AA0111" w:rsidRDefault="000315AA" w:rsidP="00AA0111">
      <w:pPr>
        <w:pStyle w:val="SectionBody"/>
      </w:pPr>
      <w:r>
        <w:t>Whereas,</w:t>
      </w:r>
      <w:r w:rsidR="00AA0111">
        <w:t xml:space="preserve"> T</w:t>
      </w:r>
      <w:r w:rsidR="00AA0111" w:rsidRPr="00AA0111">
        <w:t>he Republic of China (ROC)</w:t>
      </w:r>
      <w:r w:rsidR="00A17055">
        <w:t>, T</w:t>
      </w:r>
      <w:r w:rsidR="00AA0111" w:rsidRPr="00AA0111">
        <w:t>aiwan</w:t>
      </w:r>
      <w:r w:rsidR="00A17055">
        <w:t xml:space="preserve">, </w:t>
      </w:r>
      <w:r w:rsidR="00AA0111" w:rsidRPr="00AA0111">
        <w:t>was one of the 51 original member states of the United Nations (UN) at its inception in 1945; and</w:t>
      </w:r>
    </w:p>
    <w:p w14:paraId="0CA219B7" w14:textId="4EF4E3DD" w:rsidR="00AA0111" w:rsidRPr="00AA0111" w:rsidRDefault="00AA0111" w:rsidP="00AA0111">
      <w:pPr>
        <w:pStyle w:val="SectionBody"/>
      </w:pPr>
      <w:r w:rsidRPr="00AA0111">
        <w:t xml:space="preserve">Whereas, </w:t>
      </w:r>
      <w:r>
        <w:t>O</w:t>
      </w:r>
      <w:r w:rsidRPr="00AA0111">
        <w:t>n October 25, 1971, the United Nations General Assembly (UNGA) adopted UNGA Resolution 2758, which recognizes the People’s Republic of China (PRC) as the representative of the member state “China” in the United Nations; and</w:t>
      </w:r>
    </w:p>
    <w:p w14:paraId="41C12632" w14:textId="77777777" w:rsidR="00AA0111" w:rsidRPr="00AA0111" w:rsidRDefault="00AA0111" w:rsidP="00AA0111">
      <w:pPr>
        <w:pStyle w:val="SectionBody"/>
      </w:pPr>
      <w:proofErr w:type="gramStart"/>
      <w:r w:rsidRPr="00AA0111">
        <w:t>Whereas,</w:t>
      </w:r>
      <w:proofErr w:type="gramEnd"/>
      <w:r w:rsidRPr="00AA0111">
        <w:t xml:space="preserve"> UNGA 2758 Resolution’s sole purpose was to address the question of which government would represent the seat in the UN for “China” and was never intended to address any other topics including those related to Taiwan’s ultimate political status; and</w:t>
      </w:r>
    </w:p>
    <w:p w14:paraId="29E32628" w14:textId="51951094" w:rsidR="00AA0111" w:rsidRPr="00AA0111" w:rsidRDefault="00AA0111" w:rsidP="00AA0111">
      <w:pPr>
        <w:pStyle w:val="SectionBody"/>
      </w:pPr>
      <w:proofErr w:type="gramStart"/>
      <w:r w:rsidRPr="00AA0111">
        <w:t>Whereas,</w:t>
      </w:r>
      <w:proofErr w:type="gramEnd"/>
      <w:r w:rsidRPr="00AA0111">
        <w:t xml:space="preserve"> </w:t>
      </w:r>
      <w:r>
        <w:t>T</w:t>
      </w:r>
      <w:r w:rsidRPr="00AA0111">
        <w:t>he PRC frequently conflates UNGA Resolution 2758 with its “One China Principle” which is a policy held by the Chinese Communist Party (CCP) alleging that</w:t>
      </w:r>
      <w:r w:rsidR="00AE2F13">
        <w:t xml:space="preserve"> </w:t>
      </w:r>
      <w:r w:rsidRPr="00AA0111">
        <w:t>the PRC is the only sovereign nation using the name “China” and that Taiwan is an inalienable part of “China”; and</w:t>
      </w:r>
    </w:p>
    <w:p w14:paraId="0A3B85C8" w14:textId="77777777" w:rsidR="00AA0111" w:rsidRPr="00AA0111" w:rsidRDefault="00AA0111" w:rsidP="00AA0111">
      <w:pPr>
        <w:pStyle w:val="SectionBody"/>
      </w:pPr>
      <w:proofErr w:type="gramStart"/>
      <w:r w:rsidRPr="00AA0111">
        <w:t>Whereas,</w:t>
      </w:r>
      <w:proofErr w:type="gramEnd"/>
      <w:r w:rsidRPr="00AA0111">
        <w:t xml:space="preserve"> PRC officials misrepresent UNGA Resolution 2758, claiming that the adoption of the Resolution implies acceptance of the PRC’s “One China Principle” including the PRC’s claims to Taiwan </w:t>
      </w:r>
      <w:proofErr w:type="gramStart"/>
      <w:r w:rsidRPr="00AA0111">
        <w:t>despite the fact that</w:t>
      </w:r>
      <w:proofErr w:type="gramEnd"/>
      <w:r w:rsidRPr="00AA0111">
        <w:t xml:space="preserve"> UNGA Resolution 2758 does not and was never meant to represent an international consensus regarding Taiwan and </w:t>
      </w:r>
      <w:proofErr w:type="gramStart"/>
      <w:r w:rsidRPr="00AA0111">
        <w:t>whether or not</w:t>
      </w:r>
      <w:proofErr w:type="gramEnd"/>
      <w:r w:rsidRPr="00AA0111">
        <w:t xml:space="preserve"> it is a part of the PRC; and</w:t>
      </w:r>
    </w:p>
    <w:p w14:paraId="2887F471" w14:textId="6EC9CDB3" w:rsidR="00AA0111" w:rsidRPr="00AA0111" w:rsidRDefault="00AA0111" w:rsidP="00AA0111">
      <w:pPr>
        <w:pStyle w:val="SectionBody"/>
      </w:pPr>
      <w:r w:rsidRPr="00AA0111">
        <w:lastRenderedPageBreak/>
        <w:t>Whereas,</w:t>
      </w:r>
      <w:r>
        <w:t xml:space="preserve"> T</w:t>
      </w:r>
      <w:r w:rsidRPr="00AA0111">
        <w:t>he PRC has weaponized UNGA Resolution 2758 and the “One China Principle” to isolate and delegitimize Taiwan globally and to prevent its participation at the United Nations, United Nations-affiliated agencies and other international organizations, including but not limited to the International Civil Aviation Organization (ICAO) and Interpol; and</w:t>
      </w:r>
    </w:p>
    <w:p w14:paraId="1CF26B41" w14:textId="03B0C531" w:rsidR="00AA0111" w:rsidRPr="00AA0111" w:rsidRDefault="00AA0111" w:rsidP="00AA0111">
      <w:pPr>
        <w:pStyle w:val="SectionBody"/>
      </w:pPr>
      <w:r w:rsidRPr="00AA0111">
        <w:t xml:space="preserve">Whereas, </w:t>
      </w:r>
      <w:proofErr w:type="gramStart"/>
      <w:r>
        <w:t>T</w:t>
      </w:r>
      <w:r w:rsidRPr="00AA0111">
        <w:t>he</w:t>
      </w:r>
      <w:proofErr w:type="gramEnd"/>
      <w:r w:rsidRPr="00AA0111">
        <w:t xml:space="preserve"> “</w:t>
      </w:r>
      <w:r w:rsidR="00A17055">
        <w:t>O</w:t>
      </w:r>
      <w:r w:rsidRPr="00AA0111">
        <w:t>ne China policy” of the United States does acknowledge the PRC’s “One China Principle”, however, it affirms that:</w:t>
      </w:r>
    </w:p>
    <w:p w14:paraId="1B0965C0" w14:textId="77777777" w:rsidR="00AA0111" w:rsidRPr="00AA0111" w:rsidRDefault="00AA0111" w:rsidP="00AA0111">
      <w:pPr>
        <w:pStyle w:val="SectionBody"/>
      </w:pPr>
      <w:r w:rsidRPr="00AA0111">
        <w:t>(1) The United States does not take a position on Taiwan’s status; and</w:t>
      </w:r>
    </w:p>
    <w:p w14:paraId="529125A8" w14:textId="77777777" w:rsidR="00AA0111" w:rsidRPr="00AA0111" w:rsidRDefault="00AA0111" w:rsidP="00AA0111">
      <w:pPr>
        <w:pStyle w:val="SectionBody"/>
      </w:pPr>
      <w:r w:rsidRPr="00AA0111">
        <w:t>(2) This issue should be resolved peacefully by the people on both sides of the Taiwan Strait; and</w:t>
      </w:r>
    </w:p>
    <w:p w14:paraId="027F7E7E" w14:textId="24179527" w:rsidR="00AA0111" w:rsidRPr="00AA0111" w:rsidRDefault="00AA0111" w:rsidP="006C4DBA">
      <w:pPr>
        <w:pStyle w:val="SectionBody"/>
      </w:pPr>
      <w:r w:rsidRPr="00AA0111">
        <w:t xml:space="preserve">Whereas, </w:t>
      </w:r>
      <w:proofErr w:type="gramStart"/>
      <w:r>
        <w:t>I</w:t>
      </w:r>
      <w:r w:rsidRPr="00AA0111">
        <w:t>n</w:t>
      </w:r>
      <w:proofErr w:type="gramEnd"/>
      <w:r w:rsidRPr="00AA0111">
        <w:t xml:space="preserve"> 1982, the United States conveyed</w:t>
      </w:r>
      <w:r w:rsidR="008E2D41">
        <w:t xml:space="preserve"> s</w:t>
      </w:r>
      <w:r w:rsidRPr="00AA0111">
        <w:t xml:space="preserve">ix </w:t>
      </w:r>
      <w:r w:rsidR="008E2D41">
        <w:t>a</w:t>
      </w:r>
      <w:r w:rsidRPr="00AA0111">
        <w:t xml:space="preserve">ssurances to ROC President Chiang Ching-kuo, including that the United States had not changed its stance on Taiwan’s sovereignty, and with each successive presidential administration these </w:t>
      </w:r>
      <w:r w:rsidR="008E2D41">
        <w:t>s</w:t>
      </w:r>
      <w:r w:rsidRPr="00AA0111">
        <w:t xml:space="preserve">ix </w:t>
      </w:r>
      <w:r w:rsidR="008E2D41">
        <w:t>a</w:t>
      </w:r>
      <w:r w:rsidRPr="00AA0111">
        <w:t xml:space="preserve">ssurances have been </w:t>
      </w:r>
      <w:proofErr w:type="gramStart"/>
      <w:r w:rsidRPr="00AA0111">
        <w:t>reaffirmed;</w:t>
      </w:r>
      <w:proofErr w:type="gramEnd"/>
      <w:r w:rsidRPr="00AA0111">
        <w:t xml:space="preserve">  </w:t>
      </w:r>
    </w:p>
    <w:p w14:paraId="3CFE813C" w14:textId="1CA6C609" w:rsidR="00AA0111" w:rsidRPr="00AA0111" w:rsidRDefault="00AA0111" w:rsidP="00AA0111">
      <w:pPr>
        <w:pStyle w:val="SectionBody"/>
      </w:pPr>
      <w:proofErr w:type="gramStart"/>
      <w:r w:rsidRPr="00AA0111">
        <w:t>Whereas,</w:t>
      </w:r>
      <w:proofErr w:type="gramEnd"/>
      <w:r w:rsidRPr="00AA0111">
        <w:t xml:space="preserve"> President Donald Trump signed the Taiwan Assurance Implementation Act in December 2025, reaffirming the United States’ commitment to Taiwan, strengthening bipartisan support, and enhancing the consistency of U.S. policy toward Taiwan, thereby supporting peace, stability, and Taiwan’s role as a democratic partner in the Indo-Pacific; </w:t>
      </w:r>
      <w:r w:rsidR="006F2511">
        <w:t>and</w:t>
      </w:r>
    </w:p>
    <w:p w14:paraId="0AB0C114" w14:textId="316D9229" w:rsidR="00AA0111" w:rsidRPr="00AA0111" w:rsidRDefault="00A17055" w:rsidP="00AA0111">
      <w:pPr>
        <w:pStyle w:val="SectionBody"/>
      </w:pPr>
      <w:proofErr w:type="gramStart"/>
      <w:r w:rsidRPr="00A17055">
        <w:t>Whereas,</w:t>
      </w:r>
      <w:proofErr w:type="gramEnd"/>
      <w:r w:rsidRPr="00A17055">
        <w:t xml:space="preserve"> 2026 marks the 250th anniversary of the United States and the 30th anniversary of Taiwan’s first direct presidential election, and West Virginia and Taiwan share an enduring partnership grounded in the common values of freedom, democracy, human rights, and the rule of law</w:t>
      </w:r>
      <w:r w:rsidR="00AA0111" w:rsidRPr="00A17055">
        <w:t>;</w:t>
      </w:r>
      <w:r w:rsidR="00AA0111" w:rsidRPr="00AA0111">
        <w:t xml:space="preserve"> therefore, be it</w:t>
      </w:r>
    </w:p>
    <w:p w14:paraId="716F12A2" w14:textId="75665B3E"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AA0111">
            <w:t>Senate</w:t>
          </w:r>
        </w:sdtContent>
      </w:sdt>
      <w:r w:rsidR="00303684">
        <w:t>:</w:t>
      </w:r>
    </w:p>
    <w:p w14:paraId="3B5984D0" w14:textId="2A3B3788" w:rsidR="00AA0111" w:rsidRPr="00AA0111" w:rsidRDefault="00AA0111" w:rsidP="00AA0111">
      <w:pPr>
        <w:pStyle w:val="SectionBody"/>
      </w:pPr>
      <w:r w:rsidRPr="00AA0111">
        <w:t>That the</w:t>
      </w:r>
      <w:r w:rsidR="00A17055">
        <w:t xml:space="preserve"> Senate</w:t>
      </w:r>
      <w:r w:rsidRPr="00AA0111">
        <w:t xml:space="preserve"> hereby opposes the People’s Republic of China’s misuse of United Nations</w:t>
      </w:r>
      <w:r w:rsidRPr="00AA0111">
        <w:rPr>
          <w:rFonts w:hint="eastAsia"/>
        </w:rPr>
        <w:t xml:space="preserve"> </w:t>
      </w:r>
      <w:r w:rsidRPr="00AA0111">
        <w:t xml:space="preserve">Resolution 2758 </w:t>
      </w:r>
      <w:r w:rsidR="00AE2F13">
        <w:t>and reaffirming Taiwan’s right to international participation</w:t>
      </w:r>
      <w:r w:rsidRPr="00AA0111">
        <w:t xml:space="preserve">; </w:t>
      </w:r>
      <w:proofErr w:type="gramStart"/>
      <w:r w:rsidRPr="00AA0111">
        <w:t>and,</w:t>
      </w:r>
      <w:proofErr w:type="gramEnd"/>
      <w:r w:rsidRPr="00AA0111">
        <w:t xml:space="preserve"> be it</w:t>
      </w:r>
    </w:p>
    <w:p w14:paraId="7448E2C5" w14:textId="007C6A7A" w:rsidR="00AA0111" w:rsidRPr="00AA0111" w:rsidRDefault="00AA0111" w:rsidP="00AA0111">
      <w:pPr>
        <w:pStyle w:val="SectionBody"/>
      </w:pPr>
      <w:r w:rsidRPr="00AA0111">
        <w:rPr>
          <w:i/>
          <w:iCs/>
        </w:rPr>
        <w:t>Further Resolved</w:t>
      </w:r>
      <w:r w:rsidRPr="00AA0111">
        <w:t xml:space="preserve">, That the </w:t>
      </w:r>
      <w:r w:rsidR="008E2D41">
        <w:t xml:space="preserve">West Virginia </w:t>
      </w:r>
      <w:r w:rsidR="00A17055">
        <w:t>Senate</w:t>
      </w:r>
      <w:r>
        <w:t xml:space="preserve"> engages in </w:t>
      </w:r>
      <w:r w:rsidRPr="00AA0111">
        <w:t>the following</w:t>
      </w:r>
      <w:r>
        <w:t>:</w:t>
      </w:r>
    </w:p>
    <w:p w14:paraId="2B309D26" w14:textId="77777777" w:rsidR="00AA0111" w:rsidRPr="00AA0111" w:rsidRDefault="00AA0111" w:rsidP="00AA0111">
      <w:pPr>
        <w:pStyle w:val="SectionBody"/>
      </w:pPr>
      <w:r w:rsidRPr="00AA0111">
        <w:t>(1) Calls on the United Nations to oppose the misuse of UNGA Resolution 2758 by the PRC and for</w:t>
      </w:r>
      <w:r w:rsidRPr="00AA0111">
        <w:rPr>
          <w:rFonts w:hint="eastAsia"/>
        </w:rPr>
        <w:t xml:space="preserve"> </w:t>
      </w:r>
      <w:r w:rsidRPr="00AA0111">
        <w:t xml:space="preserve">the United Nations to cease using UNGA Resolution 2758 to deny Taiwan </w:t>
      </w:r>
      <w:r w:rsidRPr="00AA0111">
        <w:lastRenderedPageBreak/>
        <w:t>participation in UN institutions;</w:t>
      </w:r>
      <w:r w:rsidRPr="00AA0111">
        <w:rPr>
          <w:rFonts w:hint="eastAsia"/>
        </w:rPr>
        <w:t xml:space="preserve"> </w:t>
      </w:r>
      <w:r w:rsidRPr="00AA0111">
        <w:t>and</w:t>
      </w:r>
    </w:p>
    <w:p w14:paraId="03097EC5" w14:textId="77777777" w:rsidR="00AA0111" w:rsidRPr="00AA0111" w:rsidRDefault="00AA0111" w:rsidP="00AA0111">
      <w:pPr>
        <w:pStyle w:val="SectionBody"/>
      </w:pPr>
      <w:r w:rsidRPr="00AA0111">
        <w:t>(2) Calls on the United Nations Secretariat to remain neutral and to cease citing UNGA Resolution2758 to prevent Taiwanese nationals and news media from visiting UN buildings or attending or covering UN</w:t>
      </w:r>
      <w:r w:rsidRPr="00AA0111">
        <w:rPr>
          <w:rFonts w:hint="eastAsia"/>
        </w:rPr>
        <w:t xml:space="preserve"> </w:t>
      </w:r>
      <w:r w:rsidRPr="00AA0111">
        <w:t>conferences and events; and</w:t>
      </w:r>
    </w:p>
    <w:p w14:paraId="1E50F561" w14:textId="5C5DA636" w:rsidR="00AA0111" w:rsidRPr="00AA0111" w:rsidRDefault="00AA0111" w:rsidP="00AA0111">
      <w:pPr>
        <w:pStyle w:val="SectionBody"/>
      </w:pPr>
      <w:r w:rsidRPr="00AA0111">
        <w:t>(3) Reaffirms that the longstanding "</w:t>
      </w:r>
      <w:r w:rsidR="003E4322">
        <w:t>O</w:t>
      </w:r>
      <w:r w:rsidRPr="00AA0111">
        <w:t>ne China policy" of the United States does not recognize the</w:t>
      </w:r>
      <w:r w:rsidRPr="00AA0111">
        <w:rPr>
          <w:rFonts w:hint="eastAsia"/>
        </w:rPr>
        <w:t xml:space="preserve"> </w:t>
      </w:r>
      <w:r w:rsidRPr="00AA0111">
        <w:t>PRC’s claim of control over Taiwan and its outlying islands and reaffirms the interest of the United States in</w:t>
      </w:r>
      <w:r w:rsidRPr="00AA0111">
        <w:rPr>
          <w:rFonts w:hint="eastAsia"/>
        </w:rPr>
        <w:t xml:space="preserve"> </w:t>
      </w:r>
      <w:r w:rsidRPr="00AA0111">
        <w:t>a peaceful resolution of cross-Strait issues; and</w:t>
      </w:r>
    </w:p>
    <w:p w14:paraId="22E24B5B" w14:textId="77777777" w:rsidR="00AA0111" w:rsidRPr="00AA0111" w:rsidRDefault="00AA0111" w:rsidP="00AA0111">
      <w:pPr>
        <w:pStyle w:val="SectionBody"/>
      </w:pPr>
      <w:r w:rsidRPr="00AA0111">
        <w:t>(4) Has not agreed to take any position regarding sovereignty over Taiwan, and will not exert</w:t>
      </w:r>
      <w:r w:rsidRPr="00AA0111">
        <w:rPr>
          <w:rFonts w:hint="eastAsia"/>
        </w:rPr>
        <w:t xml:space="preserve"> </w:t>
      </w:r>
      <w:r w:rsidRPr="00AA0111">
        <w:t xml:space="preserve">pressure on Taiwan to </w:t>
      </w:r>
      <w:proofErr w:type="gramStart"/>
      <w:r w:rsidRPr="00AA0111">
        <w:t>enter into</w:t>
      </w:r>
      <w:proofErr w:type="gramEnd"/>
      <w:r w:rsidRPr="00AA0111">
        <w:t xml:space="preserve"> negotiations with the PRC; and</w:t>
      </w:r>
    </w:p>
    <w:p w14:paraId="5E71A69E" w14:textId="7BCB6612" w:rsidR="00AA0111" w:rsidRPr="00AA0111" w:rsidRDefault="00AA0111" w:rsidP="00AA0111">
      <w:pPr>
        <w:pStyle w:val="SectionBody"/>
      </w:pPr>
      <w:r w:rsidRPr="00AA0111">
        <w:t>(5) Reaffirms that the "</w:t>
      </w:r>
      <w:r w:rsidR="008E2D41">
        <w:t>O</w:t>
      </w:r>
      <w:r w:rsidRPr="00AA0111">
        <w:t xml:space="preserve">ne China </w:t>
      </w:r>
      <w:r w:rsidR="008E2D41">
        <w:t>P</w:t>
      </w:r>
      <w:r w:rsidRPr="00AA0111">
        <w:t>olicy" of the United States and the similar policies of its partners</w:t>
      </w:r>
      <w:r w:rsidRPr="00AA0111">
        <w:rPr>
          <w:rFonts w:hint="eastAsia"/>
        </w:rPr>
        <w:t xml:space="preserve"> </w:t>
      </w:r>
      <w:r w:rsidRPr="00AA0111">
        <w:t>are not equivalent to the "One China Principle" of the CCP; and</w:t>
      </w:r>
    </w:p>
    <w:p w14:paraId="4911DCF4" w14:textId="77777777" w:rsidR="00AA0111" w:rsidRPr="00AA0111" w:rsidRDefault="00AA0111" w:rsidP="00AA0111">
      <w:pPr>
        <w:pStyle w:val="SectionBody"/>
      </w:pPr>
      <w:r w:rsidRPr="00AA0111">
        <w:t>(6) Emphasizes that UNGA Resolution 2758 is not equivalent to, and does not endorse or reflect, the</w:t>
      </w:r>
      <w:r w:rsidRPr="00AA0111">
        <w:rPr>
          <w:rFonts w:hint="eastAsia"/>
        </w:rPr>
        <w:t xml:space="preserve"> </w:t>
      </w:r>
      <w:r w:rsidRPr="00AA0111">
        <w:t>PRC’s "One China Principle"; and</w:t>
      </w:r>
    </w:p>
    <w:p w14:paraId="4D566983" w14:textId="77777777" w:rsidR="00AA0111" w:rsidRPr="00AA0111" w:rsidRDefault="00AA0111" w:rsidP="00AA0111">
      <w:pPr>
        <w:pStyle w:val="SectionBody"/>
      </w:pPr>
      <w:r w:rsidRPr="00AA0111">
        <w:t>(7) Emphasizes further that UNGA Resolution 2758 does not take a position on Taiwan’s ultimate</w:t>
      </w:r>
      <w:r w:rsidRPr="00AA0111">
        <w:rPr>
          <w:rFonts w:hint="eastAsia"/>
        </w:rPr>
        <w:t xml:space="preserve"> </w:t>
      </w:r>
      <w:r w:rsidRPr="00AA0111">
        <w:t>political status, as explicitly recognized by PRC leaders at the time and does not represent a UN consensus</w:t>
      </w:r>
      <w:r w:rsidRPr="00AA0111">
        <w:rPr>
          <w:rFonts w:hint="eastAsia"/>
        </w:rPr>
        <w:t xml:space="preserve"> </w:t>
      </w:r>
      <w:r w:rsidRPr="00AA0111">
        <w:t>on Taiwan’s status; and</w:t>
      </w:r>
    </w:p>
    <w:p w14:paraId="231952AE" w14:textId="30C650CC" w:rsidR="00AA0111" w:rsidRPr="00AA0111" w:rsidRDefault="00AA0111" w:rsidP="00AA0111">
      <w:pPr>
        <w:pStyle w:val="SectionBody"/>
      </w:pPr>
      <w:r w:rsidRPr="00AA0111">
        <w:t>(</w:t>
      </w:r>
      <w:r w:rsidR="006C4DBA">
        <w:t>8</w:t>
      </w:r>
      <w:r w:rsidRPr="00AA0111">
        <w:t>) Supports Taiwan’s diplomatic allies in continuing official relationships with Taiwan and other</w:t>
      </w:r>
      <w:r w:rsidRPr="00AA0111">
        <w:rPr>
          <w:rFonts w:hint="eastAsia"/>
        </w:rPr>
        <w:t xml:space="preserve"> </w:t>
      </w:r>
      <w:r w:rsidRPr="00AA0111">
        <w:t>nations across the world in strengthening their partnership with Taiwan; and</w:t>
      </w:r>
    </w:p>
    <w:p w14:paraId="1D859782" w14:textId="28B5F1F4" w:rsidR="00AA0111" w:rsidRPr="00AA0111" w:rsidRDefault="00AA0111" w:rsidP="00AA0111">
      <w:pPr>
        <w:pStyle w:val="SectionBody"/>
      </w:pPr>
      <w:r w:rsidRPr="00AA0111">
        <w:t>(</w:t>
      </w:r>
      <w:r w:rsidR="006C4DBA">
        <w:t>9</w:t>
      </w:r>
      <w:r w:rsidRPr="00AA0111">
        <w:t>) Reaffirms support for Taiwan’s membership in international organizations for which statehood is</w:t>
      </w:r>
      <w:r w:rsidRPr="00AA0111">
        <w:rPr>
          <w:rFonts w:hint="eastAsia"/>
        </w:rPr>
        <w:t xml:space="preserve"> </w:t>
      </w:r>
      <w:r w:rsidRPr="00AA0111">
        <w:t>not a requirement for membership and encourages participation for Taiwan in organizations in which its</w:t>
      </w:r>
      <w:r w:rsidRPr="00AA0111">
        <w:rPr>
          <w:rFonts w:hint="eastAsia"/>
        </w:rPr>
        <w:t xml:space="preserve"> </w:t>
      </w:r>
      <w:r w:rsidRPr="00AA0111">
        <w:t>membership is not possible; and</w:t>
      </w:r>
    </w:p>
    <w:p w14:paraId="291215D8" w14:textId="6BAA7438" w:rsidR="00AA0111" w:rsidRPr="00AA0111" w:rsidRDefault="00AA0111" w:rsidP="00AA0111">
      <w:pPr>
        <w:pStyle w:val="SectionBody"/>
      </w:pPr>
      <w:r w:rsidRPr="00AA0111">
        <w:rPr>
          <w:rFonts w:hint="eastAsia"/>
        </w:rPr>
        <w:t>(1</w:t>
      </w:r>
      <w:r w:rsidR="006C4DBA">
        <w:t>0</w:t>
      </w:r>
      <w:r w:rsidRPr="00AA0111">
        <w:rPr>
          <w:rFonts w:hint="eastAsia"/>
        </w:rPr>
        <w:t xml:space="preserve">)  </w:t>
      </w:r>
      <w:r w:rsidRPr="00AA0111">
        <w:t>Encourages the United States Government to work with partners on joint efforts to counter</w:t>
      </w:r>
      <w:r w:rsidRPr="00AA0111">
        <w:rPr>
          <w:rFonts w:hint="eastAsia"/>
        </w:rPr>
        <w:t xml:space="preserve"> </w:t>
      </w:r>
      <w:r w:rsidRPr="00AA0111">
        <w:t xml:space="preserve">China’s false narratives about UNGA Resolution 2758; </w:t>
      </w:r>
      <w:proofErr w:type="gramStart"/>
      <w:r w:rsidRPr="00AA0111">
        <w:t>and</w:t>
      </w:r>
      <w:r w:rsidR="008E2D41">
        <w:t>,</w:t>
      </w:r>
      <w:proofErr w:type="gramEnd"/>
      <w:r w:rsidR="008E2D41">
        <w:t xml:space="preserve"> be it</w:t>
      </w:r>
    </w:p>
    <w:p w14:paraId="7003117D" w14:textId="4E2E60FD" w:rsidR="00AA0111" w:rsidRPr="00AA0111" w:rsidRDefault="00AA0111" w:rsidP="00AA0111">
      <w:pPr>
        <w:pStyle w:val="SectionBody"/>
      </w:pPr>
      <w:r w:rsidRPr="00AA0111">
        <w:rPr>
          <w:i/>
          <w:iCs/>
        </w:rPr>
        <w:t>Further Resolved,</w:t>
      </w:r>
      <w:r w:rsidRPr="00AA0111">
        <w:t xml:space="preserve"> That the Clerk is hereby directed to forward a copy of this resolution</w:t>
      </w:r>
      <w:r w:rsidRPr="00AA0111">
        <w:rPr>
          <w:rFonts w:hint="eastAsia"/>
        </w:rPr>
        <w:t xml:space="preserve"> </w:t>
      </w:r>
      <w:r w:rsidRPr="00AA0111">
        <w:t>to West Virginia’s congressional delegation.</w:t>
      </w:r>
    </w:p>
    <w:sectPr w:rsidR="00AA0111" w:rsidRPr="00AA0111"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79F9" w14:textId="77777777" w:rsidR="00EC45B2" w:rsidRPr="00B844FE" w:rsidRDefault="00EC45B2" w:rsidP="00B844FE">
      <w:r>
        <w:separator/>
      </w:r>
    </w:p>
  </w:endnote>
  <w:endnote w:type="continuationSeparator" w:id="0">
    <w:p w14:paraId="2E6E86C4" w14:textId="77777777" w:rsidR="00EC45B2" w:rsidRPr="00B844FE" w:rsidRDefault="00EC45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6429" w14:textId="77777777" w:rsidR="00EC45B2" w:rsidRPr="00B844FE" w:rsidRDefault="00EC45B2" w:rsidP="00B844FE">
      <w:r>
        <w:separator/>
      </w:r>
    </w:p>
  </w:footnote>
  <w:footnote w:type="continuationSeparator" w:id="0">
    <w:p w14:paraId="2D10C4C1" w14:textId="77777777" w:rsidR="00EC45B2" w:rsidRPr="00B844FE" w:rsidRDefault="00EC45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444D8F">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058C9DAC"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1475F"/>
    <w:multiLevelType w:val="multilevel"/>
    <w:tmpl w:val="9DEC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1"/>
  </w:num>
  <w:num w:numId="2" w16cid:durableId="493104532">
    <w:abstractNumId w:val="1"/>
  </w:num>
  <w:num w:numId="3" w16cid:durableId="189944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1781D"/>
    <w:rsid w:val="0015112E"/>
    <w:rsid w:val="001552E7"/>
    <w:rsid w:val="001C279E"/>
    <w:rsid w:val="001D459E"/>
    <w:rsid w:val="001F00BC"/>
    <w:rsid w:val="00234D3E"/>
    <w:rsid w:val="00251C43"/>
    <w:rsid w:val="0027011C"/>
    <w:rsid w:val="00274200"/>
    <w:rsid w:val="00274AF5"/>
    <w:rsid w:val="0028608C"/>
    <w:rsid w:val="00293081"/>
    <w:rsid w:val="002A0269"/>
    <w:rsid w:val="002B1CD0"/>
    <w:rsid w:val="002C0AFB"/>
    <w:rsid w:val="002E22E7"/>
    <w:rsid w:val="00303684"/>
    <w:rsid w:val="00307F0C"/>
    <w:rsid w:val="00314854"/>
    <w:rsid w:val="00362A0F"/>
    <w:rsid w:val="003C2915"/>
    <w:rsid w:val="003E4322"/>
    <w:rsid w:val="00410CDF"/>
    <w:rsid w:val="00444862"/>
    <w:rsid w:val="00444D8F"/>
    <w:rsid w:val="00494D63"/>
    <w:rsid w:val="004C13DD"/>
    <w:rsid w:val="004E3441"/>
    <w:rsid w:val="0050326B"/>
    <w:rsid w:val="00573058"/>
    <w:rsid w:val="0057358F"/>
    <w:rsid w:val="005746EE"/>
    <w:rsid w:val="005A5366"/>
    <w:rsid w:val="005A743E"/>
    <w:rsid w:val="005C6E35"/>
    <w:rsid w:val="005E3BF8"/>
    <w:rsid w:val="00625A38"/>
    <w:rsid w:val="00637E73"/>
    <w:rsid w:val="006865E9"/>
    <w:rsid w:val="00691F3E"/>
    <w:rsid w:val="00694BFB"/>
    <w:rsid w:val="006A106B"/>
    <w:rsid w:val="006C4DBA"/>
    <w:rsid w:val="006D4036"/>
    <w:rsid w:val="006D7161"/>
    <w:rsid w:val="006F2511"/>
    <w:rsid w:val="0072656B"/>
    <w:rsid w:val="007A1B17"/>
    <w:rsid w:val="007A1F4B"/>
    <w:rsid w:val="007C798C"/>
    <w:rsid w:val="007E1991"/>
    <w:rsid w:val="007E3A0E"/>
    <w:rsid w:val="007F1A6D"/>
    <w:rsid w:val="007F1CF5"/>
    <w:rsid w:val="00812AF1"/>
    <w:rsid w:val="00834EDE"/>
    <w:rsid w:val="00841DBA"/>
    <w:rsid w:val="008736AA"/>
    <w:rsid w:val="008B35AD"/>
    <w:rsid w:val="008D275D"/>
    <w:rsid w:val="008E2D41"/>
    <w:rsid w:val="008E78F7"/>
    <w:rsid w:val="00907FC0"/>
    <w:rsid w:val="0091254D"/>
    <w:rsid w:val="00937EDA"/>
    <w:rsid w:val="00980327"/>
    <w:rsid w:val="009973E2"/>
    <w:rsid w:val="009B661C"/>
    <w:rsid w:val="009E5AFC"/>
    <w:rsid w:val="009F01A6"/>
    <w:rsid w:val="009F040E"/>
    <w:rsid w:val="009F1067"/>
    <w:rsid w:val="00A01B95"/>
    <w:rsid w:val="00A06520"/>
    <w:rsid w:val="00A17055"/>
    <w:rsid w:val="00A31951"/>
    <w:rsid w:val="00A31DF8"/>
    <w:rsid w:val="00A31E01"/>
    <w:rsid w:val="00A527AD"/>
    <w:rsid w:val="00A718CF"/>
    <w:rsid w:val="00A97FEC"/>
    <w:rsid w:val="00AA0111"/>
    <w:rsid w:val="00AA7A9F"/>
    <w:rsid w:val="00AB05B2"/>
    <w:rsid w:val="00AE2F13"/>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66C91"/>
    <w:rsid w:val="00DD70D7"/>
    <w:rsid w:val="00DE526B"/>
    <w:rsid w:val="00DF199D"/>
    <w:rsid w:val="00E01542"/>
    <w:rsid w:val="00E13E5B"/>
    <w:rsid w:val="00E25AAD"/>
    <w:rsid w:val="00E30F0C"/>
    <w:rsid w:val="00E365F1"/>
    <w:rsid w:val="00E62F48"/>
    <w:rsid w:val="00E74E16"/>
    <w:rsid w:val="00E831B3"/>
    <w:rsid w:val="00E83541"/>
    <w:rsid w:val="00E9513C"/>
    <w:rsid w:val="00EC45B2"/>
    <w:rsid w:val="00EE70CB"/>
    <w:rsid w:val="00F04F36"/>
    <w:rsid w:val="00F05309"/>
    <w:rsid w:val="00F41CA2"/>
    <w:rsid w:val="00F57C91"/>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10389288-72D8-4E8F-818A-70D40358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4159A3" w:rsidRDefault="004159A3">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4159A3" w:rsidRDefault="004159A3">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4159A3" w:rsidRDefault="004159A3">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4159A3" w:rsidRDefault="004159A3">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4159A3" w:rsidRDefault="004159A3">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4159A3" w:rsidRDefault="004159A3">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A3"/>
    <w:rsid w:val="0011781D"/>
    <w:rsid w:val="0028608C"/>
    <w:rsid w:val="004159A3"/>
    <w:rsid w:val="005746EE"/>
    <w:rsid w:val="005C6E35"/>
    <w:rsid w:val="006D7161"/>
    <w:rsid w:val="00A06520"/>
    <w:rsid w:val="00C2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Dominic Lisi</cp:lastModifiedBy>
  <cp:revision>10</cp:revision>
  <cp:lastPrinted>2026-03-13T13:57:00Z</cp:lastPrinted>
  <dcterms:created xsi:type="dcterms:W3CDTF">2026-03-02T17:03:00Z</dcterms:created>
  <dcterms:modified xsi:type="dcterms:W3CDTF">2026-03-13T13:57:00Z</dcterms:modified>
</cp:coreProperties>
</file>